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261" w:rsidRDefault="00C47261" w:rsidP="00C47261">
      <w:pPr>
        <w:jc w:val="center"/>
      </w:pPr>
    </w:p>
    <w:p w:rsidR="00C47261" w:rsidRDefault="00C47261" w:rsidP="00C47261">
      <w:pPr>
        <w:jc w:val="center"/>
      </w:pPr>
    </w:p>
    <w:p w:rsidR="00C47261" w:rsidRDefault="00C47261" w:rsidP="00C47261">
      <w:pPr>
        <w:jc w:val="center"/>
      </w:pPr>
    </w:p>
    <w:p w:rsidR="00C47261" w:rsidRDefault="00C47261" w:rsidP="00C47261">
      <w:pPr>
        <w:jc w:val="center"/>
      </w:pPr>
    </w:p>
    <w:p w:rsidR="00C47261" w:rsidRDefault="00C47261" w:rsidP="00C47261">
      <w:pPr>
        <w:jc w:val="center"/>
      </w:pPr>
    </w:p>
    <w:p w:rsidR="00C47261" w:rsidRDefault="00C47261" w:rsidP="00C47261">
      <w:pPr>
        <w:jc w:val="center"/>
      </w:pPr>
    </w:p>
    <w:p w:rsidR="00514D12" w:rsidRDefault="00C47261" w:rsidP="00C47261">
      <w:pPr>
        <w:jc w:val="center"/>
      </w:pPr>
      <w:bookmarkStart w:id="0" w:name="_GoBack"/>
      <w:r>
        <w:t>Vicarious Trauma Interventions</w:t>
      </w:r>
    </w:p>
    <w:bookmarkEnd w:id="0"/>
    <w:p w:rsidR="00C47261" w:rsidRDefault="00C47261" w:rsidP="00C47261">
      <w:pPr>
        <w:jc w:val="center"/>
      </w:pPr>
      <w:r>
        <w:t>Student’s Name</w:t>
      </w:r>
    </w:p>
    <w:p w:rsidR="00C47261" w:rsidRDefault="00C47261" w:rsidP="00C47261">
      <w:pPr>
        <w:jc w:val="center"/>
      </w:pPr>
      <w:r>
        <w:t>Institution</w:t>
      </w:r>
    </w:p>
    <w:p w:rsidR="00C47261" w:rsidRDefault="00C47261">
      <w:pPr>
        <w:spacing w:line="276" w:lineRule="auto"/>
      </w:pPr>
      <w:r>
        <w:br w:type="page"/>
      </w:r>
    </w:p>
    <w:p w:rsidR="00C47261" w:rsidRDefault="00C47261" w:rsidP="00C47261">
      <w:pPr>
        <w:jc w:val="center"/>
      </w:pPr>
      <w:r>
        <w:lastRenderedPageBreak/>
        <w:t>Vicarious Trauma Intervention</w:t>
      </w:r>
    </w:p>
    <w:p w:rsidR="00C47261" w:rsidRDefault="00C47261" w:rsidP="00C47261">
      <w:pPr>
        <w:ind w:firstLine="720"/>
      </w:pPr>
      <w:r>
        <w:t>Vicarious trauma refers to indirect exposure to an event considered traumatic through having a first-hand report or story of the event</w:t>
      </w:r>
      <w:r w:rsidRPr="00C95A6F">
        <w:rPr>
          <w:rFonts w:cs="Times New Roman"/>
          <w:color w:val="222222"/>
          <w:szCs w:val="24"/>
          <w:shd w:val="clear" w:color="auto" w:fill="FFFFFF"/>
        </w:rPr>
        <w:t xml:space="preserve"> </w:t>
      </w:r>
      <w:r>
        <w:rPr>
          <w:rFonts w:cs="Times New Roman"/>
          <w:color w:val="222222"/>
          <w:szCs w:val="24"/>
          <w:shd w:val="clear" w:color="auto" w:fill="FFFFFF"/>
        </w:rPr>
        <w:t xml:space="preserve">(Cummings et al., </w:t>
      </w:r>
      <w:r w:rsidRPr="006B5557">
        <w:rPr>
          <w:rFonts w:cs="Times New Roman"/>
          <w:color w:val="222222"/>
          <w:szCs w:val="24"/>
          <w:shd w:val="clear" w:color="auto" w:fill="FFFFFF"/>
        </w:rPr>
        <w:t>2018)</w:t>
      </w:r>
      <w:r>
        <w:t>. Professionals – counselors, therapists, doctors as well as rescue officers – are exposed to the risk of experiencing vicarious trauma. Vicarious trauma interventions such as supervision, training, and self-care should address organizational practices.</w:t>
      </w:r>
    </w:p>
    <w:p w:rsidR="00C47261" w:rsidRDefault="00C47261" w:rsidP="00C47261">
      <w:pPr>
        <w:ind w:firstLine="720"/>
      </w:pPr>
      <w:r>
        <w:t>Supervision is used in overcoming challenges that professionals find when interacting with clients. Usually, some therapists become empathetic to their clients after hearing their accounts on the nature of the abuse they underwent. Organizational practices such as training and supervision foster a good environment that helps professionals mitigate their traumatic experiences</w:t>
      </w:r>
      <w:r w:rsidRPr="00DA148A">
        <w:rPr>
          <w:rFonts w:cs="Times New Roman"/>
          <w:color w:val="222222"/>
          <w:szCs w:val="24"/>
          <w:shd w:val="clear" w:color="auto" w:fill="FFFFFF"/>
        </w:rPr>
        <w:t xml:space="preserve"> </w:t>
      </w:r>
      <w:r>
        <w:rPr>
          <w:rFonts w:cs="Times New Roman"/>
          <w:color w:val="222222"/>
          <w:szCs w:val="24"/>
          <w:shd w:val="clear" w:color="auto" w:fill="FFFFFF"/>
        </w:rPr>
        <w:t xml:space="preserve">(Eyal et al., </w:t>
      </w:r>
      <w:r w:rsidRPr="006B5557">
        <w:rPr>
          <w:rFonts w:cs="Times New Roman"/>
          <w:color w:val="222222"/>
          <w:szCs w:val="24"/>
          <w:shd w:val="clear" w:color="auto" w:fill="FFFFFF"/>
        </w:rPr>
        <w:t>2019)</w:t>
      </w:r>
      <w:r>
        <w:t>. For instance, agencies need to supervise both clients and staff members to assist how to overcome vicarious trauma by adopting clinical supervision.</w:t>
      </w:r>
    </w:p>
    <w:p w:rsidR="00C47261" w:rsidRDefault="00C47261" w:rsidP="00C47261">
      <w:pPr>
        <w:ind w:firstLine="720"/>
      </w:pPr>
      <w:r>
        <w:t>Clinical supervision offered by agencies seeks to encourage professionals to open up on how they are impacted by accounts of the trauma stories narrated by clients. Having frequent bonding with therapists enhances the understanding of how professionals become affected by clients’ traumatic experiences</w:t>
      </w:r>
      <w:r w:rsidRPr="00882D58">
        <w:rPr>
          <w:rFonts w:cs="Times New Roman"/>
          <w:color w:val="222222"/>
          <w:szCs w:val="24"/>
          <w:shd w:val="clear" w:color="auto" w:fill="FFFFFF"/>
        </w:rPr>
        <w:t xml:space="preserve"> </w:t>
      </w:r>
      <w:r>
        <w:rPr>
          <w:rFonts w:cs="Times New Roman"/>
          <w:color w:val="222222"/>
          <w:szCs w:val="24"/>
          <w:shd w:val="clear" w:color="auto" w:fill="FFFFFF"/>
        </w:rPr>
        <w:t xml:space="preserve">(Lambert, </w:t>
      </w:r>
      <w:r w:rsidRPr="006B5557">
        <w:rPr>
          <w:rFonts w:cs="Times New Roman"/>
          <w:color w:val="222222"/>
          <w:szCs w:val="24"/>
          <w:shd w:val="clear" w:color="auto" w:fill="FFFFFF"/>
        </w:rPr>
        <w:t>2018)</w:t>
      </w:r>
      <w:r>
        <w:t>. Thus the issue of counter-transference on health providers can be determined and solutions to alleviating traumatic events can become installed by health organizations. During this process, professionals openly speak out their feelings concerning the way they became affected by traumas underwent by clients.</w:t>
      </w:r>
    </w:p>
    <w:p w:rsidR="00C47261" w:rsidRDefault="00C47261" w:rsidP="00C47261">
      <w:pPr>
        <w:ind w:firstLine="720"/>
      </w:pPr>
      <w:r>
        <w:t xml:space="preserve">Health institutions require professionals in agencies to take part in weekly or bi-weekly consultations aimed at ensuring that they address how they are impacted by traumas clients went through. Consultation is a trauma-response strategy where agencies listen to the plight of </w:t>
      </w:r>
      <w:r>
        <w:lastRenderedPageBreak/>
        <w:t>professionals on ways they are affected by traumatic events of clients</w:t>
      </w:r>
      <w:r w:rsidRPr="00ED2D33">
        <w:rPr>
          <w:rFonts w:cs="Times New Roman"/>
          <w:color w:val="222222"/>
          <w:szCs w:val="24"/>
          <w:shd w:val="clear" w:color="auto" w:fill="FFFFFF"/>
        </w:rPr>
        <w:t xml:space="preserve"> </w:t>
      </w:r>
      <w:r>
        <w:rPr>
          <w:rFonts w:cs="Times New Roman"/>
          <w:color w:val="222222"/>
          <w:szCs w:val="24"/>
          <w:shd w:val="clear" w:color="auto" w:fill="FFFFFF"/>
        </w:rPr>
        <w:t xml:space="preserve">(Tsouvelas et al., </w:t>
      </w:r>
      <w:r w:rsidRPr="006B5557">
        <w:rPr>
          <w:rFonts w:cs="Times New Roman"/>
          <w:color w:val="222222"/>
          <w:szCs w:val="24"/>
          <w:shd w:val="clear" w:color="auto" w:fill="FFFFFF"/>
        </w:rPr>
        <w:t>2019)</w:t>
      </w:r>
      <w:r>
        <w:t>. Agencies have instituted astute programs that enhance the ability to offer requisite health concerns on going about traumatic events that professionals may be exposed to when listening to clients.</w:t>
      </w:r>
    </w:p>
    <w:p w:rsidR="00823C76" w:rsidRDefault="00823C76" w:rsidP="00C47261">
      <w:pPr>
        <w:jc w:val="center"/>
      </w:pPr>
    </w:p>
    <w:p w:rsidR="00823C76" w:rsidRDefault="00823C76" w:rsidP="00C47261">
      <w:pPr>
        <w:jc w:val="center"/>
      </w:pPr>
    </w:p>
    <w:p w:rsidR="00823C76" w:rsidRDefault="00823C76" w:rsidP="00C47261">
      <w:pPr>
        <w:jc w:val="center"/>
      </w:pPr>
    </w:p>
    <w:p w:rsidR="00823C76" w:rsidRDefault="00823C76" w:rsidP="00C47261">
      <w:pPr>
        <w:jc w:val="center"/>
      </w:pPr>
    </w:p>
    <w:p w:rsidR="00823C76" w:rsidRDefault="00823C76" w:rsidP="00C47261">
      <w:pPr>
        <w:jc w:val="center"/>
      </w:pPr>
    </w:p>
    <w:p w:rsidR="00823C76" w:rsidRDefault="00823C76" w:rsidP="00C47261">
      <w:pPr>
        <w:jc w:val="center"/>
      </w:pPr>
    </w:p>
    <w:p w:rsidR="00823C76" w:rsidRDefault="00823C76" w:rsidP="00C47261">
      <w:pPr>
        <w:jc w:val="center"/>
      </w:pPr>
    </w:p>
    <w:p w:rsidR="00823C76" w:rsidRDefault="00823C76" w:rsidP="00C47261">
      <w:pPr>
        <w:jc w:val="center"/>
      </w:pPr>
    </w:p>
    <w:p w:rsidR="00823C76" w:rsidRDefault="00823C76" w:rsidP="00C47261">
      <w:pPr>
        <w:jc w:val="center"/>
      </w:pPr>
    </w:p>
    <w:p w:rsidR="00823C76" w:rsidRDefault="00823C76" w:rsidP="00C47261">
      <w:pPr>
        <w:jc w:val="center"/>
      </w:pPr>
    </w:p>
    <w:p w:rsidR="00823C76" w:rsidRDefault="00823C76" w:rsidP="00C47261">
      <w:pPr>
        <w:jc w:val="center"/>
      </w:pPr>
    </w:p>
    <w:p w:rsidR="00823C76" w:rsidRDefault="00823C76" w:rsidP="00C47261">
      <w:pPr>
        <w:jc w:val="center"/>
      </w:pPr>
    </w:p>
    <w:p w:rsidR="00823C76" w:rsidRDefault="00823C76" w:rsidP="00C47261">
      <w:pPr>
        <w:jc w:val="center"/>
      </w:pPr>
    </w:p>
    <w:p w:rsidR="00823C76" w:rsidRDefault="00823C76" w:rsidP="00C47261">
      <w:pPr>
        <w:jc w:val="center"/>
      </w:pPr>
    </w:p>
    <w:p w:rsidR="00C47261" w:rsidRDefault="00C47261" w:rsidP="00C47261">
      <w:pPr>
        <w:jc w:val="center"/>
      </w:pPr>
      <w:r>
        <w:lastRenderedPageBreak/>
        <w:t>References</w:t>
      </w:r>
    </w:p>
    <w:p w:rsidR="00C47261" w:rsidRPr="006B5557" w:rsidRDefault="00C47261" w:rsidP="00C47261">
      <w:pPr>
        <w:ind w:left="720" w:hanging="720"/>
        <w:rPr>
          <w:rFonts w:cs="Times New Roman"/>
          <w:szCs w:val="24"/>
        </w:rPr>
      </w:pPr>
      <w:r w:rsidRPr="006B5557">
        <w:rPr>
          <w:rFonts w:cs="Times New Roman"/>
          <w:color w:val="222222"/>
          <w:szCs w:val="24"/>
          <w:shd w:val="clear" w:color="auto" w:fill="FFFFFF"/>
        </w:rPr>
        <w:t>Cummings, C., Singer, J., Hisaka, R., &amp; Benuto, L. T. (2018). Compassion satisfaction to combat work-related burnout, vicarious trauma, and secondary traumatic stress. </w:t>
      </w:r>
      <w:r w:rsidRPr="006B5557">
        <w:rPr>
          <w:rFonts w:cs="Times New Roman"/>
          <w:i/>
          <w:iCs/>
          <w:color w:val="222222"/>
          <w:szCs w:val="24"/>
          <w:shd w:val="clear" w:color="auto" w:fill="FFFFFF"/>
        </w:rPr>
        <w:t>Journal of interpersonal violence</w:t>
      </w:r>
      <w:r w:rsidRPr="006B5557">
        <w:rPr>
          <w:rFonts w:cs="Times New Roman"/>
          <w:color w:val="222222"/>
          <w:szCs w:val="24"/>
          <w:shd w:val="clear" w:color="auto" w:fill="FFFFFF"/>
        </w:rPr>
        <w:t>, 0886260518799502.</w:t>
      </w:r>
    </w:p>
    <w:p w:rsidR="00C47261" w:rsidRPr="006B5557" w:rsidRDefault="00C47261" w:rsidP="00C47261">
      <w:pPr>
        <w:ind w:left="720" w:hanging="720"/>
        <w:rPr>
          <w:rFonts w:cs="Times New Roman"/>
          <w:color w:val="222222"/>
          <w:szCs w:val="24"/>
          <w:shd w:val="clear" w:color="auto" w:fill="FFFFFF"/>
        </w:rPr>
      </w:pPr>
      <w:r w:rsidRPr="006B5557">
        <w:rPr>
          <w:rFonts w:cs="Times New Roman"/>
          <w:color w:val="222222"/>
          <w:szCs w:val="24"/>
          <w:shd w:val="clear" w:color="auto" w:fill="FFFFFF"/>
        </w:rPr>
        <w:t>Eyal, M., Bauer, T., Playfair, E., &amp; McCarthy, C. J. (2019). Mind-Body Group for Teacher Stress: A Trauma-Informed Intervention Program. </w:t>
      </w:r>
      <w:r w:rsidRPr="006B5557">
        <w:rPr>
          <w:rFonts w:cs="Times New Roman"/>
          <w:i/>
          <w:iCs/>
          <w:color w:val="222222"/>
          <w:szCs w:val="24"/>
          <w:shd w:val="clear" w:color="auto" w:fill="FFFFFF"/>
        </w:rPr>
        <w:t>The Journal for Specialists in Group Work</w:t>
      </w:r>
      <w:r w:rsidRPr="006B5557">
        <w:rPr>
          <w:rFonts w:cs="Times New Roman"/>
          <w:color w:val="222222"/>
          <w:szCs w:val="24"/>
          <w:shd w:val="clear" w:color="auto" w:fill="FFFFFF"/>
        </w:rPr>
        <w:t>, </w:t>
      </w:r>
      <w:r w:rsidRPr="006B5557">
        <w:rPr>
          <w:rFonts w:cs="Times New Roman"/>
          <w:i/>
          <w:iCs/>
          <w:color w:val="222222"/>
          <w:szCs w:val="24"/>
          <w:shd w:val="clear" w:color="auto" w:fill="FFFFFF"/>
        </w:rPr>
        <w:t>44</w:t>
      </w:r>
      <w:r w:rsidRPr="006B5557">
        <w:rPr>
          <w:rFonts w:cs="Times New Roman"/>
          <w:color w:val="222222"/>
          <w:szCs w:val="24"/>
          <w:shd w:val="clear" w:color="auto" w:fill="FFFFFF"/>
        </w:rPr>
        <w:t>(3), 204-221.</w:t>
      </w:r>
    </w:p>
    <w:p w:rsidR="00C47261" w:rsidRPr="006B5557" w:rsidRDefault="00C47261" w:rsidP="00C47261">
      <w:pPr>
        <w:ind w:left="720" w:hanging="720"/>
        <w:rPr>
          <w:rFonts w:cs="Times New Roman"/>
          <w:color w:val="222222"/>
          <w:szCs w:val="24"/>
          <w:shd w:val="clear" w:color="auto" w:fill="FFFFFF"/>
        </w:rPr>
      </w:pPr>
      <w:r w:rsidRPr="006B5557">
        <w:rPr>
          <w:rFonts w:cs="Times New Roman"/>
          <w:color w:val="222222"/>
          <w:szCs w:val="24"/>
          <w:shd w:val="clear" w:color="auto" w:fill="FFFFFF"/>
        </w:rPr>
        <w:t>Lambert, S. (2018). Vicarious trauma: the impact of working with survivors of trauma. In </w:t>
      </w:r>
      <w:r w:rsidRPr="006B5557">
        <w:rPr>
          <w:rFonts w:cs="Times New Roman"/>
          <w:i/>
          <w:iCs/>
          <w:color w:val="222222"/>
          <w:szCs w:val="24"/>
          <w:shd w:val="clear" w:color="auto" w:fill="FFFFFF"/>
        </w:rPr>
        <w:t>5th Annual Irish Criminal Justice Agencies Conference. Toward a Trauma responsive criminal justice system: why, how and what next?</w:t>
      </w:r>
      <w:r w:rsidRPr="006B5557">
        <w:rPr>
          <w:rFonts w:cs="Times New Roman"/>
          <w:color w:val="222222"/>
          <w:szCs w:val="24"/>
          <w:shd w:val="clear" w:color="auto" w:fill="FFFFFF"/>
        </w:rPr>
        <w:t>. Association for Criminal Justice Research and Development, ACJRD.</w:t>
      </w:r>
    </w:p>
    <w:p w:rsidR="00C47261" w:rsidRPr="006B5557" w:rsidRDefault="00C47261" w:rsidP="00C47261">
      <w:pPr>
        <w:ind w:left="720" w:hanging="720"/>
        <w:rPr>
          <w:rFonts w:cs="Times New Roman"/>
          <w:color w:val="222222"/>
          <w:szCs w:val="24"/>
          <w:shd w:val="clear" w:color="auto" w:fill="FFFFFF"/>
        </w:rPr>
      </w:pPr>
      <w:r w:rsidRPr="006B5557">
        <w:rPr>
          <w:rFonts w:cs="Times New Roman"/>
          <w:color w:val="222222"/>
          <w:szCs w:val="24"/>
          <w:shd w:val="clear" w:color="auto" w:fill="FFFFFF"/>
        </w:rPr>
        <w:t>Tsouvelas, G., Chondrokouki, M., Nikolaidis, G., &amp; Shapiro, E. (2019). A vicarious trauma preventive approach. The Group Traumatic Episode Protocol EMDR and workplace affect in professionals who work with child abuse and neglect. </w:t>
      </w:r>
      <w:r w:rsidRPr="006B5557">
        <w:rPr>
          <w:rFonts w:cs="Times New Roman"/>
          <w:i/>
          <w:iCs/>
          <w:color w:val="222222"/>
          <w:szCs w:val="24"/>
          <w:shd w:val="clear" w:color="auto" w:fill="FFFFFF"/>
        </w:rPr>
        <w:t>Dialogues in Clinical Neuroscience &amp; Mental Health</w:t>
      </w:r>
      <w:r w:rsidRPr="006B5557">
        <w:rPr>
          <w:rFonts w:cs="Times New Roman"/>
          <w:color w:val="222222"/>
          <w:szCs w:val="24"/>
          <w:shd w:val="clear" w:color="auto" w:fill="FFFFFF"/>
        </w:rPr>
        <w:t>, </w:t>
      </w:r>
      <w:r w:rsidRPr="006B5557">
        <w:rPr>
          <w:rFonts w:cs="Times New Roman"/>
          <w:i/>
          <w:iCs/>
          <w:color w:val="222222"/>
          <w:szCs w:val="24"/>
          <w:shd w:val="clear" w:color="auto" w:fill="FFFFFF"/>
        </w:rPr>
        <w:t>2</w:t>
      </w:r>
      <w:r w:rsidRPr="006B5557">
        <w:rPr>
          <w:rFonts w:cs="Times New Roman"/>
          <w:color w:val="222222"/>
          <w:szCs w:val="24"/>
          <w:shd w:val="clear" w:color="auto" w:fill="FFFFFF"/>
        </w:rPr>
        <w:t>(3), 130-138.</w:t>
      </w:r>
    </w:p>
    <w:p w:rsidR="00C47261" w:rsidRDefault="00C47261" w:rsidP="00C47261"/>
    <w:p w:rsidR="00C47261" w:rsidRDefault="00C47261" w:rsidP="00C47261">
      <w:r>
        <w:t xml:space="preserve"> </w:t>
      </w:r>
    </w:p>
    <w:p w:rsidR="00C47261" w:rsidRPr="001F25FA" w:rsidRDefault="00C47261" w:rsidP="00C47261"/>
    <w:p w:rsidR="00C47261" w:rsidRDefault="00C47261" w:rsidP="00C47261">
      <w:pPr>
        <w:jc w:val="center"/>
      </w:pPr>
    </w:p>
    <w:p w:rsidR="00C47261" w:rsidRPr="00C47261" w:rsidRDefault="00C47261" w:rsidP="00C47261"/>
    <w:sectPr w:rsidR="00C47261" w:rsidRPr="00C47261" w:rsidSect="00C472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458" w:rsidRDefault="00221458" w:rsidP="00C47261">
      <w:pPr>
        <w:spacing w:after="0" w:line="240" w:lineRule="auto"/>
      </w:pPr>
      <w:r>
        <w:separator/>
      </w:r>
    </w:p>
  </w:endnote>
  <w:endnote w:type="continuationSeparator" w:id="0">
    <w:p w:rsidR="00221458" w:rsidRDefault="00221458" w:rsidP="00C47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458" w:rsidRDefault="00221458" w:rsidP="00C47261">
      <w:pPr>
        <w:spacing w:after="0" w:line="240" w:lineRule="auto"/>
      </w:pPr>
      <w:r>
        <w:separator/>
      </w:r>
    </w:p>
  </w:footnote>
  <w:footnote w:type="continuationSeparator" w:id="0">
    <w:p w:rsidR="00221458" w:rsidRDefault="00221458" w:rsidP="00C472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763251"/>
      <w:docPartObj>
        <w:docPartGallery w:val="Page Numbers (Top of Page)"/>
        <w:docPartUnique/>
      </w:docPartObj>
    </w:sdtPr>
    <w:sdtEndPr/>
    <w:sdtContent>
      <w:p w:rsidR="00C47261" w:rsidRDefault="00C47261">
        <w:pPr>
          <w:pStyle w:val="Header"/>
          <w:jc w:val="right"/>
        </w:pPr>
        <w:r>
          <w:t>VICARIOUS TRAUMA INTERVENTIONS</w:t>
        </w:r>
        <w:r>
          <w:tab/>
        </w:r>
        <w:r>
          <w:tab/>
        </w:r>
        <w:r w:rsidR="00221458">
          <w:fldChar w:fldCharType="begin"/>
        </w:r>
        <w:r w:rsidR="00221458">
          <w:instrText xml:space="preserve"> PAGE   \* MERGEFORMAT </w:instrText>
        </w:r>
        <w:r w:rsidR="00221458">
          <w:fldChar w:fldCharType="separate"/>
        </w:r>
        <w:r w:rsidR="007A0AAB">
          <w:rPr>
            <w:noProof/>
          </w:rPr>
          <w:t>2</w:t>
        </w:r>
        <w:r w:rsidR="00221458">
          <w:rPr>
            <w:noProof/>
          </w:rPr>
          <w:fldChar w:fldCharType="end"/>
        </w:r>
      </w:p>
    </w:sdtContent>
  </w:sdt>
  <w:p w:rsidR="00C47261" w:rsidRDefault="00C4726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261" w:rsidRDefault="00C47261">
    <w:pPr>
      <w:pStyle w:val="Header"/>
    </w:pPr>
    <w:r>
      <w:t>Running Head: VICARIOUS TRAUMA INTERVENTIONS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307"/>
    <w:rsid w:val="000A09E0"/>
    <w:rsid w:val="001F25FA"/>
    <w:rsid w:val="00221458"/>
    <w:rsid w:val="00231307"/>
    <w:rsid w:val="00344C07"/>
    <w:rsid w:val="00377423"/>
    <w:rsid w:val="00401C0D"/>
    <w:rsid w:val="00514D12"/>
    <w:rsid w:val="00774124"/>
    <w:rsid w:val="007A0AAB"/>
    <w:rsid w:val="00823C76"/>
    <w:rsid w:val="00873A9C"/>
    <w:rsid w:val="00882D58"/>
    <w:rsid w:val="009E1FFE"/>
    <w:rsid w:val="00A0043B"/>
    <w:rsid w:val="00A50758"/>
    <w:rsid w:val="00AA5FC1"/>
    <w:rsid w:val="00B42D36"/>
    <w:rsid w:val="00BC18C1"/>
    <w:rsid w:val="00C47261"/>
    <w:rsid w:val="00C95A6F"/>
    <w:rsid w:val="00D00407"/>
    <w:rsid w:val="00DA148A"/>
    <w:rsid w:val="00ED2D33"/>
    <w:rsid w:val="00FB7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7053D9-FCBF-45CC-BABF-1268880EA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758"/>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72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261"/>
    <w:rPr>
      <w:rFonts w:ascii="Times New Roman" w:hAnsi="Times New Roman"/>
      <w:sz w:val="24"/>
    </w:rPr>
  </w:style>
  <w:style w:type="paragraph" w:styleId="Footer">
    <w:name w:val="footer"/>
    <w:basedOn w:val="Normal"/>
    <w:link w:val="FooterChar"/>
    <w:uiPriority w:val="99"/>
    <w:semiHidden/>
    <w:unhideWhenUsed/>
    <w:rsid w:val="00C4726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4726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490</Words>
  <Characters>2798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2019-10-17T06:41:00Z</dcterms:created>
  <dcterms:modified xsi:type="dcterms:W3CDTF">2019-10-17T06:41:00Z</dcterms:modified>
</cp:coreProperties>
</file>